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65731" w14:textId="77777777" w:rsidR="00EF5B55" w:rsidRDefault="00EF5B55" w:rsidP="00D25FA7">
      <w:pPr>
        <w:spacing w:line="360" w:lineRule="auto"/>
        <w:rPr>
          <w:b/>
          <w:bCs/>
        </w:rPr>
      </w:pPr>
    </w:p>
    <w:p w14:paraId="41CFEE2F" w14:textId="77777777" w:rsidR="00EF5B55" w:rsidRDefault="00EF5B55" w:rsidP="00D25FA7">
      <w:pPr>
        <w:spacing w:line="360" w:lineRule="auto"/>
        <w:rPr>
          <w:b/>
          <w:bCs/>
        </w:rPr>
      </w:pPr>
    </w:p>
    <w:p w14:paraId="323ABC63" w14:textId="77777777" w:rsidR="00D25FA7" w:rsidRDefault="00D25FA7" w:rsidP="00D25FA7">
      <w:pPr>
        <w:spacing w:line="360" w:lineRule="auto"/>
        <w:rPr>
          <w:b/>
          <w:bCs/>
        </w:rPr>
      </w:pPr>
    </w:p>
    <w:p w14:paraId="54DE232C" w14:textId="09C29458" w:rsidR="00EF5B55" w:rsidRPr="006B3E78" w:rsidRDefault="006B3E78" w:rsidP="00D25FA7">
      <w:pPr>
        <w:spacing w:line="360" w:lineRule="auto"/>
        <w:rPr>
          <w:b/>
          <w:bCs/>
          <w:sz w:val="24"/>
          <w:szCs w:val="24"/>
        </w:rPr>
      </w:pPr>
      <w:r w:rsidRPr="006B3E78">
        <w:rPr>
          <w:b/>
          <w:bCs/>
          <w:sz w:val="24"/>
          <w:szCs w:val="24"/>
        </w:rPr>
        <w:t>RETURN AND REFUND POLICY FOR PENNAWARIS SDN BHD'S ESTATE PLANNING &amp; ADMINISTRATION SERVICES</w:t>
      </w:r>
    </w:p>
    <w:p w14:paraId="168D326F" w14:textId="77777777" w:rsidR="00EF5B55" w:rsidRDefault="00EF5B55" w:rsidP="00D25FA7">
      <w:pPr>
        <w:pStyle w:val="ListParagraph"/>
        <w:numPr>
          <w:ilvl w:val="0"/>
          <w:numId w:val="4"/>
        </w:numPr>
        <w:spacing w:line="360" w:lineRule="auto"/>
      </w:pPr>
      <w:r>
        <w:t xml:space="preserve">This policy shall be read together with </w:t>
      </w:r>
      <w:proofErr w:type="spellStart"/>
      <w:r>
        <w:t>PennaWaris</w:t>
      </w:r>
      <w:proofErr w:type="spellEnd"/>
      <w:r>
        <w:t xml:space="preserve"> </w:t>
      </w:r>
      <w:proofErr w:type="spellStart"/>
      <w:r>
        <w:t>Sdn</w:t>
      </w:r>
      <w:proofErr w:type="spellEnd"/>
      <w:r>
        <w:t xml:space="preserve"> </w:t>
      </w:r>
      <w:proofErr w:type="spellStart"/>
      <w:r>
        <w:t>Bhd's</w:t>
      </w:r>
      <w:proofErr w:type="spellEnd"/>
      <w:r>
        <w:t xml:space="preserve"> General Terms of Conditions of Services as available in www.pennawaris.com.my.</w:t>
      </w:r>
    </w:p>
    <w:p w14:paraId="132BAB23" w14:textId="77777777" w:rsidR="00EF5B55" w:rsidRDefault="00EF5B55" w:rsidP="00D25FA7">
      <w:pPr>
        <w:pStyle w:val="ListParagraph"/>
        <w:numPr>
          <w:ilvl w:val="0"/>
          <w:numId w:val="4"/>
        </w:numPr>
        <w:spacing w:line="360" w:lineRule="auto"/>
      </w:pPr>
      <w:r>
        <w:t xml:space="preserve">In the event of conflict and/or discrepancy between this policy and </w:t>
      </w:r>
      <w:proofErr w:type="spellStart"/>
      <w:r>
        <w:t>PennaWaris</w:t>
      </w:r>
      <w:proofErr w:type="spellEnd"/>
      <w:r>
        <w:t xml:space="preserve"> </w:t>
      </w:r>
      <w:proofErr w:type="spellStart"/>
      <w:r>
        <w:t>Sdn</w:t>
      </w:r>
      <w:proofErr w:type="spellEnd"/>
      <w:r>
        <w:t xml:space="preserve"> </w:t>
      </w:r>
      <w:proofErr w:type="spellStart"/>
      <w:r>
        <w:t>Bhd's</w:t>
      </w:r>
      <w:proofErr w:type="spellEnd"/>
      <w:r>
        <w:t xml:space="preserve"> General Terms and Conditions of Services, the General Terms and Conditions of Services shall prevail.</w:t>
      </w:r>
    </w:p>
    <w:p w14:paraId="0D510714" w14:textId="77777777" w:rsidR="00EF5B55" w:rsidRDefault="00EF5B55" w:rsidP="00D25FA7">
      <w:pPr>
        <w:spacing w:line="360" w:lineRule="auto"/>
      </w:pPr>
    </w:p>
    <w:p w14:paraId="710CE3D5" w14:textId="77777777" w:rsidR="00EF5B55" w:rsidRPr="00D25FA7" w:rsidRDefault="00EF5B55" w:rsidP="00D25FA7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D25FA7">
        <w:rPr>
          <w:b/>
          <w:bCs/>
          <w:sz w:val="24"/>
          <w:szCs w:val="24"/>
        </w:rPr>
        <w:t>Scope of Services</w:t>
      </w:r>
    </w:p>
    <w:p w14:paraId="6D3A3838" w14:textId="77777777" w:rsidR="00EF5B55" w:rsidRPr="00EF5B55" w:rsidRDefault="00EF5B55" w:rsidP="00D25FA7">
      <w:pPr>
        <w:pStyle w:val="ListParagraph"/>
        <w:spacing w:line="360" w:lineRule="auto"/>
        <w:ind w:left="792"/>
        <w:rPr>
          <w:b/>
          <w:bCs/>
        </w:rPr>
      </w:pPr>
    </w:p>
    <w:p w14:paraId="28558E56" w14:textId="0AAD2E3E" w:rsidR="00EF5B55" w:rsidRPr="00EF5B55" w:rsidRDefault="00EF5B55" w:rsidP="00D25FA7">
      <w:pPr>
        <w:pStyle w:val="ListParagraph"/>
        <w:numPr>
          <w:ilvl w:val="1"/>
          <w:numId w:val="1"/>
        </w:numPr>
        <w:spacing w:line="360" w:lineRule="auto"/>
        <w:rPr>
          <w:b/>
          <w:bCs/>
        </w:rPr>
      </w:pPr>
      <w:r>
        <w:t xml:space="preserve">This policy applies to all estate planning and administration services provided by </w:t>
      </w:r>
      <w:proofErr w:type="spellStart"/>
      <w:r>
        <w:t>PennaWaris</w:t>
      </w:r>
      <w:proofErr w:type="spellEnd"/>
      <w:r>
        <w:t xml:space="preserve"> </w:t>
      </w:r>
      <w:proofErr w:type="spellStart"/>
      <w:r>
        <w:t>Sdn</w:t>
      </w:r>
      <w:proofErr w:type="spellEnd"/>
      <w:r>
        <w:t xml:space="preserve"> </w:t>
      </w:r>
      <w:proofErr w:type="spellStart"/>
      <w:r>
        <w:t>Bh</w:t>
      </w:r>
      <w:r w:rsidR="00560A71">
        <w:t>d</w:t>
      </w:r>
      <w:proofErr w:type="spellEnd"/>
      <w:r>
        <w:t>, including but not limited to estate planning and probate services.</w:t>
      </w:r>
    </w:p>
    <w:p w14:paraId="75423BA0" w14:textId="77777777" w:rsidR="00EF5B55" w:rsidRDefault="00EF5B55" w:rsidP="00D25FA7">
      <w:pPr>
        <w:pStyle w:val="ListParagraph"/>
        <w:spacing w:line="360" w:lineRule="auto"/>
        <w:ind w:left="360"/>
      </w:pPr>
    </w:p>
    <w:p w14:paraId="776DAF10" w14:textId="77777777" w:rsidR="00EF5B55" w:rsidRPr="00D25FA7" w:rsidRDefault="00EF5B55" w:rsidP="00D25FA7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D25FA7">
        <w:rPr>
          <w:b/>
          <w:bCs/>
          <w:sz w:val="24"/>
          <w:szCs w:val="24"/>
        </w:rPr>
        <w:t>Consultation and Engagement Fees</w:t>
      </w:r>
    </w:p>
    <w:p w14:paraId="5F65136A" w14:textId="2D0D6F25" w:rsidR="00EF5B55" w:rsidRDefault="00EF5B55" w:rsidP="00D25FA7">
      <w:pPr>
        <w:pStyle w:val="ListParagraph"/>
        <w:numPr>
          <w:ilvl w:val="1"/>
          <w:numId w:val="1"/>
        </w:numPr>
        <w:spacing w:line="360" w:lineRule="auto"/>
      </w:pPr>
      <w:r>
        <w:t>Non-Refundable Consultation Fee: Consultation fees are non-refundable, as they cover the cost of our professional advice and assessment of your estate needs.</w:t>
      </w:r>
    </w:p>
    <w:p w14:paraId="43A6AD3D" w14:textId="3258A295" w:rsidR="00EF5B55" w:rsidRDefault="00EF5B55" w:rsidP="00D25FA7">
      <w:pPr>
        <w:pStyle w:val="ListParagraph"/>
        <w:numPr>
          <w:ilvl w:val="1"/>
          <w:numId w:val="1"/>
        </w:numPr>
        <w:spacing w:line="360" w:lineRule="auto"/>
      </w:pPr>
      <w:r>
        <w:t>Engagement Fee: A portion of the engagement fee may be refundable if services are cancelled before significant work has commenced. Any administrative costs incurred will be deducted.</w:t>
      </w:r>
    </w:p>
    <w:p w14:paraId="6C50CDEE" w14:textId="45E1E3BC" w:rsidR="00EF5B55" w:rsidRDefault="00EF5B55" w:rsidP="00D25FA7">
      <w:pPr>
        <w:pStyle w:val="ListParagraph"/>
        <w:spacing w:line="360" w:lineRule="auto"/>
        <w:ind w:left="360"/>
      </w:pPr>
    </w:p>
    <w:p w14:paraId="2F8E1179" w14:textId="77777777" w:rsidR="00D25FA7" w:rsidRDefault="00D25FA7" w:rsidP="00D25FA7">
      <w:pPr>
        <w:pStyle w:val="ListParagraph"/>
        <w:spacing w:line="360" w:lineRule="auto"/>
        <w:ind w:left="360"/>
        <w:rPr>
          <w:b/>
          <w:bCs/>
          <w:sz w:val="24"/>
          <w:szCs w:val="24"/>
        </w:rPr>
      </w:pPr>
    </w:p>
    <w:p w14:paraId="72F91C51" w14:textId="14B9EE09" w:rsidR="00EF5B55" w:rsidRPr="00D25FA7" w:rsidRDefault="00EF5B55" w:rsidP="00D25FA7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D25FA7">
        <w:rPr>
          <w:b/>
          <w:bCs/>
          <w:sz w:val="24"/>
          <w:szCs w:val="24"/>
        </w:rPr>
        <w:t>Service Fees</w:t>
      </w:r>
    </w:p>
    <w:p w14:paraId="41AA6603" w14:textId="71090177" w:rsidR="00EF5B55" w:rsidRDefault="00EF5B55" w:rsidP="00D25FA7">
      <w:pPr>
        <w:pStyle w:val="ListParagraph"/>
        <w:numPr>
          <w:ilvl w:val="1"/>
          <w:numId w:val="1"/>
        </w:numPr>
        <w:spacing w:line="360" w:lineRule="auto"/>
      </w:pPr>
      <w:r>
        <w:t>Refund Eligibility: Refunds on service fees are considered on a case-by-case basis. A client may request a refund if:</w:t>
      </w:r>
    </w:p>
    <w:p w14:paraId="411853D0" w14:textId="41AEB633" w:rsidR="00EF5B55" w:rsidRDefault="00EF5B55" w:rsidP="00D25FA7">
      <w:pPr>
        <w:pStyle w:val="ListParagraph"/>
        <w:numPr>
          <w:ilvl w:val="1"/>
          <w:numId w:val="1"/>
        </w:numPr>
        <w:spacing w:line="360" w:lineRule="auto"/>
      </w:pPr>
      <w:r w:rsidRPr="00EF5B55">
        <w:rPr>
          <w:rFonts w:ascii="Segoe UI Symbol" w:hAnsi="Segoe UI Symbol" w:cs="Segoe UI Symbol"/>
        </w:rPr>
        <w:t>⁠</w:t>
      </w:r>
      <w:r>
        <w:t>The service has not been performed as agreed upon in the service contract.</w:t>
      </w:r>
    </w:p>
    <w:p w14:paraId="5D541A6B" w14:textId="44A4DDE6" w:rsidR="00EF5B55" w:rsidRDefault="00EF5B55" w:rsidP="00D25FA7">
      <w:pPr>
        <w:pStyle w:val="ListParagraph"/>
        <w:numPr>
          <w:ilvl w:val="1"/>
          <w:numId w:val="1"/>
        </w:numPr>
        <w:spacing w:line="360" w:lineRule="auto"/>
      </w:pPr>
      <w:r w:rsidRPr="00EF5B55">
        <w:rPr>
          <w:rFonts w:ascii="Segoe UI Symbol" w:hAnsi="Segoe UI Symbol" w:cs="Segoe UI Symbol"/>
        </w:rPr>
        <w:t>⁠</w:t>
      </w:r>
      <w:r>
        <w:t>There are delays beyond the agreed timeline due to our team</w:t>
      </w:r>
      <w:r w:rsidRPr="00EF5B55">
        <w:rPr>
          <w:rFonts w:ascii="Aptos" w:hAnsi="Aptos" w:cs="Aptos"/>
        </w:rPr>
        <w:t>’</w:t>
      </w:r>
      <w:r>
        <w:t>s negligence.</w:t>
      </w:r>
    </w:p>
    <w:p w14:paraId="7E865C20" w14:textId="5AD50834" w:rsidR="00EF5B55" w:rsidRDefault="00EF5B55" w:rsidP="00D25FA7">
      <w:pPr>
        <w:pStyle w:val="ListParagraph"/>
        <w:numPr>
          <w:ilvl w:val="1"/>
          <w:numId w:val="1"/>
        </w:numPr>
        <w:spacing w:line="360" w:lineRule="auto"/>
      </w:pPr>
      <w:r w:rsidRPr="00EF5B55">
        <w:rPr>
          <w:rFonts w:ascii="Segoe UI Symbol" w:hAnsi="Segoe UI Symbol" w:cs="Segoe UI Symbol"/>
        </w:rPr>
        <w:t>⁠</w:t>
      </w:r>
      <w:r>
        <w:t>The client decides to cancel the service before substantial work is performed.</w:t>
      </w:r>
    </w:p>
    <w:p w14:paraId="03892EFD" w14:textId="77777777" w:rsidR="00EF5B55" w:rsidRDefault="00EF5B55" w:rsidP="00D25FA7">
      <w:pPr>
        <w:spacing w:line="360" w:lineRule="auto"/>
      </w:pPr>
    </w:p>
    <w:p w14:paraId="40DC6106" w14:textId="41EBFCF8" w:rsidR="00EF5B55" w:rsidRPr="00D25FA7" w:rsidRDefault="00EF5B55" w:rsidP="00D25FA7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D25FA7">
        <w:rPr>
          <w:b/>
          <w:bCs/>
          <w:sz w:val="24"/>
          <w:szCs w:val="24"/>
        </w:rPr>
        <w:lastRenderedPageBreak/>
        <w:t>Refund Process</w:t>
      </w:r>
    </w:p>
    <w:p w14:paraId="784E64B4" w14:textId="77777777" w:rsidR="00EF5B55" w:rsidRDefault="00EF5B55" w:rsidP="00D25FA7">
      <w:pPr>
        <w:pStyle w:val="ListParagraph"/>
        <w:numPr>
          <w:ilvl w:val="1"/>
          <w:numId w:val="1"/>
        </w:numPr>
        <w:spacing w:line="360" w:lineRule="auto"/>
      </w:pPr>
      <w:r>
        <w:t>Request for Refund: Clients must submit a written request for a refund, detailing the reasons for the request and providing any supporting documentation.</w:t>
      </w:r>
    </w:p>
    <w:p w14:paraId="55FA54D4" w14:textId="77777777" w:rsidR="00EF5B55" w:rsidRDefault="00EF5B55" w:rsidP="00D25FA7">
      <w:pPr>
        <w:pStyle w:val="ListParagraph"/>
        <w:numPr>
          <w:ilvl w:val="1"/>
          <w:numId w:val="1"/>
        </w:numPr>
        <w:spacing w:line="360" w:lineRule="auto"/>
      </w:pPr>
      <w:r>
        <w:t>Review Period: We will review the request within 14 business days and communicate our decision.</w:t>
      </w:r>
    </w:p>
    <w:p w14:paraId="10FA6BF1" w14:textId="098121C3" w:rsidR="00EF5B55" w:rsidRPr="00D25FA7" w:rsidRDefault="00EF5B55" w:rsidP="00D25FA7">
      <w:pPr>
        <w:pStyle w:val="ListParagraph"/>
        <w:numPr>
          <w:ilvl w:val="1"/>
          <w:numId w:val="1"/>
        </w:numPr>
        <w:spacing w:line="360" w:lineRule="auto"/>
        <w:rPr>
          <w:b/>
          <w:bCs/>
        </w:rPr>
      </w:pPr>
      <w:r>
        <w:t>Approved Refunds: If a refund is approved, it will be processed within 30 days of approval.</w:t>
      </w:r>
    </w:p>
    <w:p w14:paraId="4AFE11A6" w14:textId="77777777" w:rsidR="00EF5B55" w:rsidRPr="00D25FA7" w:rsidRDefault="00EF5B55" w:rsidP="00D25FA7">
      <w:pPr>
        <w:spacing w:line="360" w:lineRule="auto"/>
        <w:rPr>
          <w:b/>
          <w:bCs/>
        </w:rPr>
      </w:pPr>
    </w:p>
    <w:p w14:paraId="7C00DB92" w14:textId="7B7ECFFD" w:rsidR="00EF5B55" w:rsidRPr="00D25FA7" w:rsidRDefault="00EF5B55" w:rsidP="00D25FA7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D25FA7">
        <w:rPr>
          <w:b/>
          <w:bCs/>
          <w:sz w:val="24"/>
          <w:szCs w:val="24"/>
        </w:rPr>
        <w:t>Exceptions</w:t>
      </w:r>
    </w:p>
    <w:p w14:paraId="059A2242" w14:textId="77777777" w:rsidR="00EF5B55" w:rsidRDefault="00EF5B55" w:rsidP="00D25FA7">
      <w:pPr>
        <w:pStyle w:val="ListParagraph"/>
        <w:numPr>
          <w:ilvl w:val="1"/>
          <w:numId w:val="1"/>
        </w:numPr>
        <w:spacing w:line="360" w:lineRule="auto"/>
      </w:pPr>
      <w:r>
        <w:t>No Refunds for Completed Services: Once services are completed and delivered, refunds are not available.</w:t>
      </w:r>
    </w:p>
    <w:p w14:paraId="5E57043B" w14:textId="77777777" w:rsidR="00EF5B55" w:rsidRDefault="00EF5B55" w:rsidP="00D25FA7">
      <w:pPr>
        <w:pStyle w:val="ListParagraph"/>
        <w:numPr>
          <w:ilvl w:val="1"/>
          <w:numId w:val="1"/>
        </w:numPr>
        <w:spacing w:line="360" w:lineRule="auto"/>
      </w:pPr>
      <w:r>
        <w:t xml:space="preserve">Force Majeure: Refunds will not be issued for delays or failures due to Force Majeure (as defined in </w:t>
      </w:r>
      <w:proofErr w:type="spellStart"/>
      <w:r>
        <w:t>PennaWaris</w:t>
      </w:r>
      <w:proofErr w:type="spellEnd"/>
      <w:r>
        <w:t xml:space="preserve"> </w:t>
      </w:r>
      <w:proofErr w:type="spellStart"/>
      <w:r>
        <w:t>Sdn</w:t>
      </w:r>
      <w:proofErr w:type="spellEnd"/>
      <w:r>
        <w:t xml:space="preserve"> </w:t>
      </w:r>
      <w:proofErr w:type="spellStart"/>
      <w:r>
        <w:t>Bhd's</w:t>
      </w:r>
      <w:proofErr w:type="spellEnd"/>
      <w:r>
        <w:t xml:space="preserve"> General Terms and Conditions of Services).</w:t>
      </w:r>
    </w:p>
    <w:p w14:paraId="77F1CFAD" w14:textId="3703AFDA" w:rsidR="00EF5B55" w:rsidRDefault="00EF5B55" w:rsidP="00D25FA7">
      <w:pPr>
        <w:pStyle w:val="ListParagraph"/>
        <w:numPr>
          <w:ilvl w:val="1"/>
          <w:numId w:val="1"/>
        </w:numPr>
        <w:spacing w:line="360" w:lineRule="auto"/>
      </w:pPr>
      <w:r>
        <w:t xml:space="preserve">Notwithstanding the terms of this policy, any refund of the service fee thereof shall be at </w:t>
      </w:r>
      <w:proofErr w:type="spellStart"/>
      <w:r>
        <w:t>PennaWaris</w:t>
      </w:r>
      <w:proofErr w:type="spellEnd"/>
      <w:r>
        <w:t xml:space="preserve"> </w:t>
      </w:r>
      <w:proofErr w:type="spellStart"/>
      <w:r>
        <w:t>Sdn</w:t>
      </w:r>
      <w:proofErr w:type="spellEnd"/>
      <w:r>
        <w:t xml:space="preserve"> </w:t>
      </w:r>
      <w:proofErr w:type="spellStart"/>
      <w:r>
        <w:t>Bhd's</w:t>
      </w:r>
      <w:proofErr w:type="spellEnd"/>
      <w:r>
        <w:t xml:space="preserve"> full discretion and shall be subject to General Terms and Conditions of Services.</w:t>
      </w:r>
    </w:p>
    <w:p w14:paraId="12B906F4" w14:textId="77777777" w:rsidR="00EF5B55" w:rsidRDefault="00EF5B55" w:rsidP="00D25FA7">
      <w:pPr>
        <w:pStyle w:val="ListParagraph"/>
        <w:spacing w:line="360" w:lineRule="auto"/>
        <w:ind w:left="360"/>
      </w:pPr>
    </w:p>
    <w:p w14:paraId="5F4C6FB8" w14:textId="3816B182" w:rsidR="00EF5B55" w:rsidRPr="00D25FA7" w:rsidRDefault="00EF5B55" w:rsidP="00D25FA7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D25FA7">
        <w:rPr>
          <w:b/>
          <w:bCs/>
          <w:sz w:val="24"/>
          <w:szCs w:val="24"/>
        </w:rPr>
        <w:t>Contact Information</w:t>
      </w:r>
    </w:p>
    <w:p w14:paraId="11644C6E" w14:textId="726A828F" w:rsidR="00C16493" w:rsidRDefault="00EF5B55" w:rsidP="00D25FA7">
      <w:pPr>
        <w:pStyle w:val="ListParagraph"/>
        <w:numPr>
          <w:ilvl w:val="1"/>
          <w:numId w:val="1"/>
        </w:numPr>
        <w:spacing w:line="360" w:lineRule="auto"/>
      </w:pPr>
      <w:r>
        <w:t xml:space="preserve">For questions regarding this policy, please contact our customer service team at </w:t>
      </w:r>
      <w:r w:rsidR="00D25FA7">
        <w:t>+6</w:t>
      </w:r>
      <w:r>
        <w:t>03-8966 3477.</w:t>
      </w:r>
    </w:p>
    <w:sectPr w:rsidR="00C16493" w:rsidSect="00D25FA7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7558E" w14:textId="77777777" w:rsidR="00275215" w:rsidRDefault="00275215" w:rsidP="00EF5B55">
      <w:pPr>
        <w:spacing w:after="0" w:line="240" w:lineRule="auto"/>
      </w:pPr>
      <w:r>
        <w:separator/>
      </w:r>
    </w:p>
  </w:endnote>
  <w:endnote w:type="continuationSeparator" w:id="0">
    <w:p w14:paraId="1B0B3522" w14:textId="77777777" w:rsidR="00275215" w:rsidRDefault="00275215" w:rsidP="00EF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334AA" w14:textId="77777777" w:rsidR="00275215" w:rsidRDefault="00275215" w:rsidP="00EF5B55">
      <w:pPr>
        <w:spacing w:after="0" w:line="240" w:lineRule="auto"/>
      </w:pPr>
      <w:r>
        <w:separator/>
      </w:r>
    </w:p>
  </w:footnote>
  <w:footnote w:type="continuationSeparator" w:id="0">
    <w:p w14:paraId="62A3529F" w14:textId="77777777" w:rsidR="00275215" w:rsidRDefault="00275215" w:rsidP="00EF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D0CE0" w14:textId="58C8C9FC" w:rsidR="00EF5B55" w:rsidRDefault="00D25FA7" w:rsidP="00D25FA7">
    <w:pPr>
      <w:pStyle w:val="Header"/>
      <w:tabs>
        <w:tab w:val="clear" w:pos="4513"/>
        <w:tab w:val="clear" w:pos="9026"/>
        <w:tab w:val="left" w:pos="567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9F9A948" wp14:editId="6309691C">
          <wp:simplePos x="0" y="0"/>
          <wp:positionH relativeFrom="column">
            <wp:posOffset>-1034415</wp:posOffset>
          </wp:positionH>
          <wp:positionV relativeFrom="paragraph">
            <wp:posOffset>-791210</wp:posOffset>
          </wp:positionV>
          <wp:extent cx="7800806" cy="11034000"/>
          <wp:effectExtent l="0" t="0" r="0" b="0"/>
          <wp:wrapNone/>
          <wp:docPr id="8988751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87515" name="Picture 898875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806" cy="110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B5CD" w14:textId="13C20A0D" w:rsidR="00D25FA7" w:rsidRDefault="00D25FA7" w:rsidP="00D25FA7">
    <w:pPr>
      <w:pStyle w:val="Header"/>
      <w:tabs>
        <w:tab w:val="clear" w:pos="4513"/>
        <w:tab w:val="clear" w:pos="9026"/>
        <w:tab w:val="left" w:pos="654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ED8D5B9" wp14:editId="69C4C85E">
          <wp:simplePos x="0" y="0"/>
          <wp:positionH relativeFrom="margin">
            <wp:posOffset>-1039495</wp:posOffset>
          </wp:positionH>
          <wp:positionV relativeFrom="margin">
            <wp:posOffset>-1270000</wp:posOffset>
          </wp:positionV>
          <wp:extent cx="7801588" cy="11035108"/>
          <wp:effectExtent l="0" t="0" r="9525" b="0"/>
          <wp:wrapNone/>
          <wp:docPr id="215963176" name="Picture 2" descr="A screenshot of a cell 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963176" name="Picture 2" descr="A screenshot of a cell pho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588" cy="11035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64163"/>
    <w:multiLevelType w:val="hybridMultilevel"/>
    <w:tmpl w:val="EE50100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57841"/>
    <w:multiLevelType w:val="multilevel"/>
    <w:tmpl w:val="1E8094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8D4AA4"/>
    <w:multiLevelType w:val="hybridMultilevel"/>
    <w:tmpl w:val="F26833A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E0386C">
      <w:start w:val="3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44FF6"/>
    <w:multiLevelType w:val="hybridMultilevel"/>
    <w:tmpl w:val="C99AA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115250">
    <w:abstractNumId w:val="1"/>
  </w:num>
  <w:num w:numId="2" w16cid:durableId="244001983">
    <w:abstractNumId w:val="2"/>
  </w:num>
  <w:num w:numId="3" w16cid:durableId="430707127">
    <w:abstractNumId w:val="3"/>
  </w:num>
  <w:num w:numId="4" w16cid:durableId="99680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55"/>
    <w:rsid w:val="000B61F7"/>
    <w:rsid w:val="00275215"/>
    <w:rsid w:val="00560A71"/>
    <w:rsid w:val="006B3E78"/>
    <w:rsid w:val="00823033"/>
    <w:rsid w:val="00C16493"/>
    <w:rsid w:val="00D25FA7"/>
    <w:rsid w:val="00D320E3"/>
    <w:rsid w:val="00DB170D"/>
    <w:rsid w:val="00EF5B55"/>
    <w:rsid w:val="00F7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4E2E7"/>
  <w15:chartTrackingRefBased/>
  <w15:docId w15:val="{698C1898-8734-40C0-9B01-3CAC732E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B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B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B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B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B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B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5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B55"/>
  </w:style>
  <w:style w:type="paragraph" w:styleId="Footer">
    <w:name w:val="footer"/>
    <w:basedOn w:val="Normal"/>
    <w:link w:val="FooterChar"/>
    <w:uiPriority w:val="99"/>
    <w:unhideWhenUsed/>
    <w:rsid w:val="00EF5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Ikhman Ariff Asmar</dc:creator>
  <cp:keywords/>
  <dc:description/>
  <cp:lastModifiedBy>Ikhman Ariff Asmar</cp:lastModifiedBy>
  <cp:revision>3</cp:revision>
  <dcterms:created xsi:type="dcterms:W3CDTF">2024-09-19T12:48:00Z</dcterms:created>
  <dcterms:modified xsi:type="dcterms:W3CDTF">2024-09-20T02:29:00Z</dcterms:modified>
</cp:coreProperties>
</file>